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3759C" w14:textId="4ADBFF42" w:rsidR="001B7F36" w:rsidRPr="001B7F36" w:rsidRDefault="001B7F36" w:rsidP="008D462E">
      <w:pPr>
        <w:jc w:val="center"/>
        <w:rPr>
          <w:b/>
          <w:bCs/>
          <w:sz w:val="24"/>
          <w:szCs w:val="24"/>
        </w:rPr>
      </w:pPr>
      <w:r w:rsidRPr="001B7F36">
        <w:rPr>
          <w:b/>
          <w:bCs/>
          <w:noProof/>
          <w:sz w:val="24"/>
          <w:szCs w:val="24"/>
        </w:rPr>
        <w:drawing>
          <wp:inline distT="0" distB="0" distL="0" distR="0" wp14:anchorId="6C88F3F2" wp14:editId="350FA8A6">
            <wp:extent cx="5731510" cy="2273300"/>
            <wp:effectExtent l="0" t="0" r="2540" b="0"/>
            <wp:docPr id="1164619020" name="Picture 2" descr="Montane mosaics in Scotland: understanding the past to inform the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9020" name="Picture 2" descr="Montane mosaics in Scotland: understanding the past to inform the fu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273300"/>
                    </a:xfrm>
                    <a:prstGeom prst="rect">
                      <a:avLst/>
                    </a:prstGeom>
                    <a:noFill/>
                    <a:ln>
                      <a:noFill/>
                    </a:ln>
                  </pic:spPr>
                </pic:pic>
              </a:graphicData>
            </a:graphic>
          </wp:inline>
        </w:drawing>
      </w:r>
    </w:p>
    <w:p w14:paraId="23C9E166" w14:textId="6AD729D4" w:rsidR="00A86718" w:rsidRPr="00BE09F0" w:rsidRDefault="005237F0">
      <w:pPr>
        <w:rPr>
          <w:b/>
          <w:bCs/>
          <w:sz w:val="24"/>
          <w:szCs w:val="24"/>
        </w:rPr>
      </w:pPr>
      <w:r>
        <w:rPr>
          <w:b/>
          <w:bCs/>
          <w:sz w:val="24"/>
          <w:szCs w:val="24"/>
        </w:rPr>
        <w:t xml:space="preserve">PhD outline: </w:t>
      </w:r>
      <w:r w:rsidR="00BE09F0" w:rsidRPr="00BE09F0">
        <w:rPr>
          <w:b/>
          <w:bCs/>
          <w:sz w:val="24"/>
          <w:szCs w:val="24"/>
        </w:rPr>
        <w:t xml:space="preserve">Montane </w:t>
      </w:r>
      <w:r w:rsidR="00BE09F0">
        <w:rPr>
          <w:b/>
          <w:bCs/>
          <w:sz w:val="24"/>
          <w:szCs w:val="24"/>
        </w:rPr>
        <w:t>mosaics</w:t>
      </w:r>
      <w:r w:rsidR="00BE09F0" w:rsidRPr="00BE09F0">
        <w:rPr>
          <w:b/>
          <w:bCs/>
          <w:sz w:val="24"/>
          <w:szCs w:val="24"/>
        </w:rPr>
        <w:t xml:space="preserve"> in Scotland: understanding the past to inform the future</w:t>
      </w:r>
    </w:p>
    <w:p w14:paraId="628A074B" w14:textId="36ECF774" w:rsidR="003869A7" w:rsidRDefault="003869A7">
      <w:r w:rsidRPr="00454621">
        <w:rPr>
          <w:b/>
          <w:bCs/>
        </w:rPr>
        <w:t>Supervisors</w:t>
      </w:r>
      <w:r>
        <w:t xml:space="preserve">: </w:t>
      </w:r>
      <w:r w:rsidRPr="003869A7">
        <w:t xml:space="preserve">Althea Davies, Katy Roucoux, Dmitri </w:t>
      </w:r>
      <w:proofErr w:type="spellStart"/>
      <w:r w:rsidRPr="003869A7">
        <w:t>Mauquoy</w:t>
      </w:r>
      <w:proofErr w:type="spellEnd"/>
      <w:r w:rsidRPr="003869A7">
        <w:t xml:space="preserve"> (Univ. Aberdeen)</w:t>
      </w:r>
    </w:p>
    <w:p w14:paraId="5FAF48AE" w14:textId="134B34AA" w:rsidR="0011752B" w:rsidRPr="003869A7" w:rsidRDefault="0011752B">
      <w:r w:rsidRPr="00454621">
        <w:rPr>
          <w:b/>
          <w:bCs/>
        </w:rPr>
        <w:t>Partners</w:t>
      </w:r>
      <w:r>
        <w:t>: Shaila Rao (</w:t>
      </w:r>
      <w:r w:rsidR="00CC056F">
        <w:t xml:space="preserve">Conservation Manager, National Trust for Scotland Mar Lodge), </w:t>
      </w:r>
      <w:r>
        <w:t>Sarah Watts (Corrour Conservation Manager)</w:t>
      </w:r>
      <w:r w:rsidR="007A4A94">
        <w:t>, Charlie Davis</w:t>
      </w:r>
      <w:r w:rsidR="0076721E">
        <w:t xml:space="preserve"> (Corrour)</w:t>
      </w:r>
    </w:p>
    <w:p w14:paraId="54F4E476" w14:textId="3619730D" w:rsidR="00BE09F0" w:rsidRDefault="00BE09F0" w:rsidP="00BE09F0">
      <w:r w:rsidRPr="00362610">
        <w:rPr>
          <w:b/>
          <w:bCs/>
        </w:rPr>
        <w:t>Context and aims</w:t>
      </w:r>
      <w:r w:rsidR="008F06ED">
        <w:rPr>
          <w:b/>
          <w:bCs/>
        </w:rPr>
        <w:t xml:space="preserve">: </w:t>
      </w:r>
      <w:r>
        <w:t xml:space="preserve">High altitude ecosystems are at the frontline of climate change, yet the capacity of some communities to adapt to changing conditions remains poorly understood. In Scotland, there is </w:t>
      </w:r>
      <w:proofErr w:type="gramStart"/>
      <w:r>
        <w:t>particular uncertainty</w:t>
      </w:r>
      <w:proofErr w:type="gramEnd"/>
      <w:r>
        <w:t xml:space="preserve"> over the role of montane woodland in these ecosystems. On one hand, they are very </w:t>
      </w:r>
      <w:r w:rsidR="000A5164">
        <w:t>scarce,</w:t>
      </w:r>
      <w:r>
        <w:t xml:space="preserve"> and this is thought to be a result of past depletion owing to grazing impacts </w:t>
      </w:r>
      <w:r w:rsidR="002F0C8F">
        <w:t>[1]</w:t>
      </w:r>
      <w:r>
        <w:t>. Contrasts are often drawn with extensive montane woodland in Norway, to the extent that montane woodlands are considered by conservation proponents to be a ‘missing ecotone’ in Scotland (</w:t>
      </w:r>
      <w:hyperlink r:id="rId6" w:history="1">
        <w:r w:rsidRPr="00482B8C">
          <w:rPr>
            <w:rStyle w:val="Hyperlink"/>
          </w:rPr>
          <w:t>https://www.msag.org.uk/</w:t>
        </w:r>
      </w:hyperlink>
      <w:r>
        <w:t xml:space="preserve">). On the other hand, with extensive reductions in grazing pressure in numerous areas, climate warming may promote upward expansion of trees like birch, thus placing added pressure on the ability of </w:t>
      </w:r>
      <w:proofErr w:type="gramStart"/>
      <w:r>
        <w:t>arctic-alpines</w:t>
      </w:r>
      <w:proofErr w:type="gramEnd"/>
      <w:r>
        <w:t xml:space="preserve"> to survive in shrinking climate space.</w:t>
      </w:r>
    </w:p>
    <w:p w14:paraId="1CBC3E64" w14:textId="65E6EF2C" w:rsidR="00BE09F0" w:rsidRDefault="00BE09F0" w:rsidP="00BE09F0">
      <w:r>
        <w:t xml:space="preserve">There are calls for more flexible responses to conservation designations to address the uncertainties facing montane ecosystems </w:t>
      </w:r>
      <w:r w:rsidR="000E371A">
        <w:t>[</w:t>
      </w:r>
      <w:r w:rsidR="00EC35BC">
        <w:t>2</w:t>
      </w:r>
      <w:r w:rsidR="000E371A">
        <w:t>]</w:t>
      </w:r>
      <w:r w:rsidR="00EC35BC">
        <w:t>, including a more active approach to restoration of montane woodland [3]</w:t>
      </w:r>
      <w:r>
        <w:t xml:space="preserve">. However, active restoration of </w:t>
      </w:r>
      <w:r w:rsidR="00C8280E">
        <w:t>high-altitude</w:t>
      </w:r>
      <w:r>
        <w:t xml:space="preserve"> trees is currently resisted by conservation agencies </w:t>
      </w:r>
      <w:r w:rsidR="003926C9">
        <w:t xml:space="preserve">based on </w:t>
      </w:r>
      <w:r>
        <w:t xml:space="preserve">an absence of evidence </w:t>
      </w:r>
      <w:r w:rsidR="00495864">
        <w:t>that these once existed</w:t>
      </w:r>
      <w:r>
        <w:t xml:space="preserve">, rather than robust evidence </w:t>
      </w:r>
      <w:r w:rsidR="003835F7">
        <w:t xml:space="preserve">that they were </w:t>
      </w:r>
      <w:r>
        <w:t>absen</w:t>
      </w:r>
      <w:r w:rsidR="003835F7">
        <w:t xml:space="preserve">t </w:t>
      </w:r>
      <w:r w:rsidR="000E371A">
        <w:t>[4]</w:t>
      </w:r>
      <w:r>
        <w:t>. This lack of long-term ecological evidence on the form and fate of montane woods and their role in high altitude communities constrains our understanding of how to mediate the tension between proactive measures for montane woods at a time when (sub)arctic-alpine communities are also facing stress.</w:t>
      </w:r>
      <w:r w:rsidR="00F56AD8">
        <w:t xml:space="preserve"> </w:t>
      </w:r>
      <w:r>
        <w:t xml:space="preserve">The </w:t>
      </w:r>
      <w:r w:rsidRPr="00A3552D">
        <w:rPr>
          <w:b/>
          <w:bCs/>
        </w:rPr>
        <w:t>aim of this project is to examine the long-term ecological evidence for a varied treeline mosaic in the Scottish Highlands and to develop a model of montane woodland and arctic-alpine dynamics to inform conservation</w:t>
      </w:r>
      <w:r>
        <w:t xml:space="preserve">. By applying a joint palaeoecological-biogeographical approach, this research will provide a better understanding of the long-term interactions between high altitude trees and shrubs, open arctic-alpine and peat communities, and of their sensitivity to perturbations and dynamics, to inform </w:t>
      </w:r>
      <w:r w:rsidR="0065535B">
        <w:t xml:space="preserve">landscape-scale </w:t>
      </w:r>
      <w:r w:rsidR="000A5164">
        <w:t xml:space="preserve">ecological restoration and </w:t>
      </w:r>
      <w:r>
        <w:t>conservation planning in Scotland.</w:t>
      </w:r>
    </w:p>
    <w:p w14:paraId="2353BA07" w14:textId="10AF5DF9" w:rsidR="00BE09F0" w:rsidRDefault="00BE09F0" w:rsidP="00BE09F0">
      <w:r>
        <w:rPr>
          <w:b/>
          <w:bCs/>
        </w:rPr>
        <w:t>M</w:t>
      </w:r>
      <w:r w:rsidRPr="00362610">
        <w:rPr>
          <w:b/>
          <w:bCs/>
        </w:rPr>
        <w:t>ethodology</w:t>
      </w:r>
      <w:r w:rsidR="008F06ED">
        <w:rPr>
          <w:b/>
          <w:bCs/>
        </w:rPr>
        <w:t xml:space="preserve">: </w:t>
      </w:r>
      <w:r>
        <w:t xml:space="preserve">History does not provide direct analogues for the future, but it can provide evidence for the range of variability in community </w:t>
      </w:r>
      <w:r w:rsidR="00BF06FF">
        <w:t>richness</w:t>
      </w:r>
      <w:r>
        <w:t xml:space="preserve"> and sensitivity to change</w:t>
      </w:r>
      <w:r w:rsidR="0086153A">
        <w:t xml:space="preserve">. These include </w:t>
      </w:r>
      <w:r>
        <w:t>the likely effects of more extreme climate/weather events and understand</w:t>
      </w:r>
      <w:r w:rsidR="006903C4">
        <w:t>ing</w:t>
      </w:r>
      <w:r>
        <w:t xml:space="preserve"> time lags in biotic responses to climate change. Long-term data can also address a key gap in current knowledge: whether trees were once more extensive in the Scottish montane zone, and, if so, when and how they have been all but lost. This knowledge can be used to validate predictive models and inform restoration planning, particularly the </w:t>
      </w:r>
      <w:r>
        <w:lastRenderedPageBreak/>
        <w:t>difficult decisions about whether to resist, assist or direct ecological change.</w:t>
      </w:r>
      <w:r w:rsidR="00844F5F">
        <w:t xml:space="preserve"> </w:t>
      </w:r>
      <w:r w:rsidR="00EC7EC5">
        <w:t>P</w:t>
      </w:r>
      <w:r>
        <w:t xml:space="preserve">alaeoecology provides the best source of such long-term evidence, spanning decades to millennia, </w:t>
      </w:r>
      <w:r w:rsidR="00EC7EC5">
        <w:t xml:space="preserve">but </w:t>
      </w:r>
      <w:r>
        <w:t xml:space="preserve">working at and above the treeline is </w:t>
      </w:r>
      <w:proofErr w:type="gramStart"/>
      <w:r>
        <w:t>challenging:</w:t>
      </w:r>
      <w:proofErr w:type="gramEnd"/>
      <w:r>
        <w:t xml:space="preserve"> pollen can be blown in </w:t>
      </w:r>
      <w:r w:rsidR="006D277B">
        <w:t xml:space="preserve">from lower altitudes </w:t>
      </w:r>
      <w:r>
        <w:t xml:space="preserve">and may not represent local </w:t>
      </w:r>
      <w:r w:rsidR="00BF06FF">
        <w:t xml:space="preserve">tree </w:t>
      </w:r>
      <w:r>
        <w:t xml:space="preserve">growth, and pollen productivity in exposed conditions may be low </w:t>
      </w:r>
      <w:r w:rsidR="009816DA">
        <w:t>[5]</w:t>
      </w:r>
      <w:r>
        <w:t xml:space="preserve">. </w:t>
      </w:r>
      <w:r w:rsidR="006B1E15" w:rsidRPr="006B1E15">
        <w:t xml:space="preserve">To address these </w:t>
      </w:r>
      <w:r w:rsidR="004E7B55">
        <w:t>issues</w:t>
      </w:r>
      <w:r>
        <w:t>, this project will</w:t>
      </w:r>
      <w:r w:rsidR="00262321">
        <w:t xml:space="preserve"> combine palaeoecological and biogeographical approaches to</w:t>
      </w:r>
      <w:r w:rsidR="00436673">
        <w:t xml:space="preserve"> achieve the following objectives</w:t>
      </w:r>
      <w:r>
        <w:t>:</w:t>
      </w:r>
    </w:p>
    <w:p w14:paraId="5E146E1E" w14:textId="6CA3E5A3" w:rsidR="00BE09F0" w:rsidRDefault="00622EDB" w:rsidP="00D730B5">
      <w:pPr>
        <w:pStyle w:val="ListParagraph"/>
        <w:numPr>
          <w:ilvl w:val="0"/>
          <w:numId w:val="1"/>
        </w:numPr>
      </w:pPr>
      <w:r>
        <w:t xml:space="preserve">Calibrate palaeoecological records against ecological evidence by analysing short peat cores spanning </w:t>
      </w:r>
      <w:r w:rsidR="0020305D">
        <w:t xml:space="preserve">surface sediments and </w:t>
      </w:r>
      <w:r>
        <w:t xml:space="preserve">the recent past in areas with </w:t>
      </w:r>
      <w:r w:rsidR="00D730B5">
        <w:t xml:space="preserve">montane tree/shrub growth. </w:t>
      </w:r>
      <w:r w:rsidR="00BE09F0">
        <w:t>This will involve a multiproxy approach, combining pollen and plant macrofossils since the latter are locally deposited.</w:t>
      </w:r>
    </w:p>
    <w:p w14:paraId="50D14AFE" w14:textId="77186C5F" w:rsidR="00BE09F0" w:rsidRDefault="00EB1669" w:rsidP="00BE09F0">
      <w:pPr>
        <w:pStyle w:val="ListParagraph"/>
        <w:numPr>
          <w:ilvl w:val="0"/>
          <w:numId w:val="1"/>
        </w:numPr>
      </w:pPr>
      <w:r>
        <w:t xml:space="preserve">Characterise montane scrub refugia by analysing </w:t>
      </w:r>
      <w:r w:rsidR="00BE09F0">
        <w:t xml:space="preserve">and </w:t>
      </w:r>
      <w:r>
        <w:t xml:space="preserve">mapping </w:t>
      </w:r>
      <w:r w:rsidR="00BE09F0">
        <w:t xml:space="preserve">the microclimate of extant arctic-alpine communities with tree/shrub growth </w:t>
      </w:r>
      <w:r w:rsidR="005D3A31">
        <w:t xml:space="preserve">to assess whether there </w:t>
      </w:r>
      <w:r w:rsidR="00453F46">
        <w:t xml:space="preserve">is consistency </w:t>
      </w:r>
      <w:r w:rsidR="002D744D">
        <w:t>or</w:t>
      </w:r>
      <w:r w:rsidR="00BA6B42">
        <w:t xml:space="preserve"> high variability</w:t>
      </w:r>
      <w:r w:rsidR="005F1E3E">
        <w:t xml:space="preserve"> (</w:t>
      </w:r>
      <w:r w:rsidR="00BA6B42">
        <w:t xml:space="preserve">i.e. chance, </w:t>
      </w:r>
      <w:r w:rsidR="00731390">
        <w:t>probable</w:t>
      </w:r>
      <w:r w:rsidR="00BA6B42">
        <w:t xml:space="preserve"> </w:t>
      </w:r>
      <w:r w:rsidR="00731390">
        <w:t xml:space="preserve">survival in </w:t>
      </w:r>
      <w:r w:rsidR="00BA6B42">
        <w:t xml:space="preserve">suboptimal </w:t>
      </w:r>
      <w:r w:rsidR="00731390">
        <w:t>conditions</w:t>
      </w:r>
      <w:r w:rsidR="005F1E3E">
        <w:t>)</w:t>
      </w:r>
      <w:r w:rsidR="002D744D">
        <w:t xml:space="preserve"> </w:t>
      </w:r>
      <w:r w:rsidR="00932736">
        <w:t>[</w:t>
      </w:r>
      <w:r w:rsidR="009816DA">
        <w:t>6</w:t>
      </w:r>
      <w:r w:rsidR="00932736">
        <w:t>]</w:t>
      </w:r>
      <w:r w:rsidR="00BE09F0">
        <w:t xml:space="preserve">. This </w:t>
      </w:r>
      <w:r w:rsidR="00CD2C12">
        <w:t xml:space="preserve">will involve producing new microclimate measurements and making use of secondary data. It </w:t>
      </w:r>
      <w:r w:rsidR="00BE09F0">
        <w:t xml:space="preserve">aligns well with future-oriented ‘opportunity mapping’ </w:t>
      </w:r>
      <w:r w:rsidR="00BA0AA9">
        <w:t xml:space="preserve">for montane woods </w:t>
      </w:r>
      <w:r w:rsidR="00932736">
        <w:t>[1]</w:t>
      </w:r>
      <w:r w:rsidR="00BE09F0">
        <w:t>.</w:t>
      </w:r>
    </w:p>
    <w:p w14:paraId="0836C0CD" w14:textId="33B6E406" w:rsidR="00BE09F0" w:rsidRDefault="005E1F3E" w:rsidP="00BE09F0">
      <w:pPr>
        <w:pStyle w:val="ListParagraph"/>
        <w:numPr>
          <w:ilvl w:val="0"/>
          <w:numId w:val="1"/>
        </w:numPr>
      </w:pPr>
      <w:r>
        <w:t xml:space="preserve">Select sites for Holocene </w:t>
      </w:r>
      <w:r w:rsidR="00307834">
        <w:t xml:space="preserve">palaeoecological </w:t>
      </w:r>
      <w:r>
        <w:t>analysis</w:t>
      </w:r>
      <w:r w:rsidR="00646C17">
        <w:t xml:space="preserve"> of montane dynamics</w:t>
      </w:r>
      <w:r w:rsidR="00BE09F0">
        <w:t xml:space="preserve"> </w:t>
      </w:r>
      <w:r w:rsidR="00307834">
        <w:t xml:space="preserve">(pollen, plant macrofossils, charcoal, fungal spores) </w:t>
      </w:r>
      <w:r w:rsidR="00B323F2">
        <w:t xml:space="preserve">informed by </w:t>
      </w:r>
      <w:r w:rsidR="00CC44A9">
        <w:t xml:space="preserve">microclimate mapping </w:t>
      </w:r>
      <w:r w:rsidR="0081510A">
        <w:t xml:space="preserve">(objective 2) </w:t>
      </w:r>
      <w:r w:rsidR="00CC44A9">
        <w:t xml:space="preserve">and </w:t>
      </w:r>
      <w:r w:rsidR="00E634C2">
        <w:t xml:space="preserve">interpret the records </w:t>
      </w:r>
      <w:r w:rsidR="00794B5C">
        <w:t xml:space="preserve">using </w:t>
      </w:r>
      <w:r w:rsidR="00E32875">
        <w:t xml:space="preserve">the </w:t>
      </w:r>
      <w:r w:rsidR="00794B5C">
        <w:t xml:space="preserve">modern calibration (objective 1) and by </w:t>
      </w:r>
      <w:r w:rsidR="00BE09F0">
        <w:t>adapt</w:t>
      </w:r>
      <w:r w:rsidR="00E634C2">
        <w:t>ing</w:t>
      </w:r>
      <w:r w:rsidR="00BE09F0">
        <w:t xml:space="preserve"> interpretative models developed in Norway </w:t>
      </w:r>
      <w:r w:rsidR="00932736">
        <w:t>[</w:t>
      </w:r>
      <w:r w:rsidR="009816DA">
        <w:t>7</w:t>
      </w:r>
      <w:r w:rsidR="00932736">
        <w:t>]</w:t>
      </w:r>
      <w:r w:rsidR="00BE09F0">
        <w:t>.</w:t>
      </w:r>
    </w:p>
    <w:p w14:paraId="33852886" w14:textId="75AF57C7" w:rsidR="008D6B3C" w:rsidRDefault="00B532D2" w:rsidP="008D6B3C">
      <w:r>
        <w:t xml:space="preserve">This methodology allows the project to advance our understanding of montane </w:t>
      </w:r>
      <w:r w:rsidR="00397DBC">
        <w:t>vegetation dynamics</w:t>
      </w:r>
      <w:r w:rsidR="00247AA6">
        <w:t xml:space="preserve"> by examining </w:t>
      </w:r>
      <w:r w:rsidR="00397DBC">
        <w:t>whether Norway provides a suitable model for Scotland’s montane future, or whether Scotland has a unique montane ecosystem, owing to historical contingencies and ecological distinctions.</w:t>
      </w:r>
      <w:r w:rsidR="00A02E22">
        <w:t xml:space="preserve"> </w:t>
      </w:r>
      <w:r w:rsidR="008D6B3C">
        <w:t xml:space="preserve">A successful candidate can explore the potential for using additional proxies (e.g. lipid biomarkers, </w:t>
      </w:r>
      <w:proofErr w:type="spellStart"/>
      <w:r w:rsidR="00630A02">
        <w:t>m</w:t>
      </w:r>
      <w:r w:rsidR="008508BB">
        <w:t>a</w:t>
      </w:r>
      <w:r w:rsidR="00630A02">
        <w:t>crocharcoal</w:t>
      </w:r>
      <w:proofErr w:type="spellEnd"/>
      <w:r w:rsidR="00630A02">
        <w:t xml:space="preserve"> spectroscopy</w:t>
      </w:r>
      <w:r w:rsidR="008D6B3C">
        <w:t xml:space="preserve">), depending on skills and additional funding. This work will take place in three areas </w:t>
      </w:r>
      <w:r w:rsidR="00181064">
        <w:t xml:space="preserve">of the Scottish Highlands </w:t>
      </w:r>
      <w:r w:rsidR="008D6B3C">
        <w:t xml:space="preserve">with an active interest in conserving and expanding montane communities: Mar Lodge, Corrour and Ben </w:t>
      </w:r>
      <w:proofErr w:type="spellStart"/>
      <w:r w:rsidR="008D6B3C">
        <w:t>Lawers</w:t>
      </w:r>
      <w:proofErr w:type="spellEnd"/>
      <w:r w:rsidR="008D6B3C">
        <w:t xml:space="preserve">. The ecologists </w:t>
      </w:r>
      <w:r w:rsidR="00181064">
        <w:t>working there</w:t>
      </w:r>
      <w:r w:rsidR="008D6B3C">
        <w:t xml:space="preserve"> have proactively sought research evidence on the history of mountain woodlands.</w:t>
      </w:r>
    </w:p>
    <w:p w14:paraId="2A1D824F" w14:textId="4BAB737E" w:rsidR="000B4A18" w:rsidRPr="00192AE4" w:rsidRDefault="0069113B" w:rsidP="0069113B">
      <w:r w:rsidRPr="0069113B">
        <w:rPr>
          <w:b/>
          <w:bCs/>
        </w:rPr>
        <w:t>Supervision and training</w:t>
      </w:r>
      <w:r w:rsidR="008F06ED">
        <w:rPr>
          <w:b/>
          <w:bCs/>
        </w:rPr>
        <w:t xml:space="preserve">: </w:t>
      </w:r>
      <w:r w:rsidR="000B4A18">
        <w:t xml:space="preserve">The supervisory team </w:t>
      </w:r>
      <w:r w:rsidR="00DC437F">
        <w:t xml:space="preserve">provides </w:t>
      </w:r>
      <w:r w:rsidR="000B4A18">
        <w:t xml:space="preserve">expertise in </w:t>
      </w:r>
      <w:r w:rsidR="00DC437F">
        <w:t xml:space="preserve">conservation </w:t>
      </w:r>
      <w:r w:rsidR="000B4A18">
        <w:t>palaeoecology</w:t>
      </w:r>
      <w:r w:rsidR="001C2F14">
        <w:t xml:space="preserve">, science communication and </w:t>
      </w:r>
      <w:proofErr w:type="spellStart"/>
      <w:r w:rsidR="001C2F14">
        <w:t>palaeoclimate</w:t>
      </w:r>
      <w:proofErr w:type="spellEnd"/>
      <w:r w:rsidR="001C2F14">
        <w:t xml:space="preserve"> research</w:t>
      </w:r>
      <w:r w:rsidR="00A10896">
        <w:t>. Prior experience of either palaeoecology or ecology is preferred</w:t>
      </w:r>
      <w:r w:rsidR="008051BC">
        <w:t xml:space="preserve">, and the student will </w:t>
      </w:r>
      <w:r w:rsidR="00A10896">
        <w:t>be provided with</w:t>
      </w:r>
      <w:r w:rsidR="00C84789">
        <w:t xml:space="preserve"> methods</w:t>
      </w:r>
      <w:r w:rsidR="00A10896">
        <w:t xml:space="preserve"> training and support </w:t>
      </w:r>
      <w:r w:rsidR="008F06ED">
        <w:t xml:space="preserve">in </w:t>
      </w:r>
      <w:r w:rsidR="00C7303C">
        <w:t>St Andrews (pollen, microclimate modelling) and Aberdeen (plant macrofossils)</w:t>
      </w:r>
      <w:r w:rsidR="000B4A18">
        <w:t xml:space="preserve">. </w:t>
      </w:r>
      <w:r w:rsidR="00C84789">
        <w:t>P</w:t>
      </w:r>
      <w:r w:rsidR="00B1749D">
        <w:t>roject partners will provide insight into current management efforts and challenges in the montane zone</w:t>
      </w:r>
      <w:r>
        <w:t xml:space="preserve">. </w:t>
      </w:r>
      <w:r w:rsidR="000B4A18">
        <w:t xml:space="preserve">The student would have (bi)monthly </w:t>
      </w:r>
      <w:r w:rsidR="00CF5699">
        <w:t xml:space="preserve">hybrid </w:t>
      </w:r>
      <w:r w:rsidR="000B4A18">
        <w:t xml:space="preserve">meetings with all supervisors and </w:t>
      </w:r>
      <w:r>
        <w:t xml:space="preserve">partners </w:t>
      </w:r>
      <w:r w:rsidR="000B4A18">
        <w:t xml:space="preserve">to ensure </w:t>
      </w:r>
      <w:r w:rsidR="001B2CA7">
        <w:t xml:space="preserve">collaboration </w:t>
      </w:r>
      <w:r w:rsidR="000B4A18">
        <w:t xml:space="preserve">across research and practice. SGSD and institutional </w:t>
      </w:r>
      <w:proofErr w:type="spellStart"/>
      <w:r w:rsidR="000B4A18">
        <w:t>GradSkills</w:t>
      </w:r>
      <w:proofErr w:type="spellEnd"/>
      <w:r w:rsidR="000B4A18">
        <w:t xml:space="preserve"> training provide a welcoming environment to develop transferable skills </w:t>
      </w:r>
      <w:r w:rsidR="000B4A18" w:rsidRPr="00BB7B17">
        <w:t>(e.g. data visualisation)</w:t>
      </w:r>
      <w:r w:rsidR="000B4A18">
        <w:t>, while the Environmental Change Research Group offers a vibrant peer network and exposure to international seminar speakers</w:t>
      </w:r>
      <w:r w:rsidR="000B4A18" w:rsidRPr="00BB7B17">
        <w:t>.</w:t>
      </w:r>
      <w:r w:rsidR="000B4A18">
        <w:t xml:space="preserve"> This </w:t>
      </w:r>
      <w:r w:rsidR="001B2CA7">
        <w:t xml:space="preserve">PhD </w:t>
      </w:r>
      <w:r w:rsidR="000B4A18" w:rsidRPr="00765326">
        <w:t xml:space="preserve">represents an opportunity for collaborative training that will equip a successful student for a career in </w:t>
      </w:r>
      <w:r w:rsidR="000B4A18">
        <w:t xml:space="preserve">global change ecology and </w:t>
      </w:r>
      <w:proofErr w:type="gramStart"/>
      <w:r w:rsidR="000B4A18">
        <w:t xml:space="preserve">conservation, </w:t>
      </w:r>
      <w:r w:rsidR="000B4A18" w:rsidRPr="00765326">
        <w:t>and</w:t>
      </w:r>
      <w:proofErr w:type="gramEnd"/>
      <w:r w:rsidR="000B4A18" w:rsidRPr="00765326">
        <w:t xml:space="preserve"> allow the candidate to strengthen </w:t>
      </w:r>
      <w:r w:rsidR="000B4A18">
        <w:t>the research-practitioner networks that are needed to support environmental management in the Anthropocene</w:t>
      </w:r>
      <w:r w:rsidR="000B4A18" w:rsidRPr="00765326">
        <w:t>.</w:t>
      </w:r>
    </w:p>
    <w:p w14:paraId="2B72015D" w14:textId="7CFFC21A" w:rsidR="00BE09F0" w:rsidRPr="005237F0" w:rsidRDefault="006C4DB2" w:rsidP="00EB544E">
      <w:pPr>
        <w:rPr>
          <w:sz w:val="20"/>
          <w:szCs w:val="20"/>
        </w:rPr>
      </w:pPr>
      <w:r w:rsidRPr="005237F0">
        <w:rPr>
          <w:b/>
          <w:bCs/>
          <w:sz w:val="20"/>
          <w:szCs w:val="20"/>
        </w:rPr>
        <w:t>R</w:t>
      </w:r>
      <w:r w:rsidR="00BE09F0" w:rsidRPr="005237F0">
        <w:rPr>
          <w:b/>
          <w:bCs/>
          <w:sz w:val="20"/>
          <w:szCs w:val="20"/>
        </w:rPr>
        <w:t>eferences</w:t>
      </w:r>
      <w:r w:rsidR="008F06ED" w:rsidRPr="005237F0">
        <w:rPr>
          <w:b/>
          <w:bCs/>
          <w:sz w:val="20"/>
          <w:szCs w:val="20"/>
        </w:rPr>
        <w:t xml:space="preserve">: </w:t>
      </w:r>
      <w:r w:rsidR="002F0C8F" w:rsidRPr="005237F0">
        <w:rPr>
          <w:sz w:val="20"/>
          <w:szCs w:val="20"/>
        </w:rPr>
        <w:t xml:space="preserve">[1] </w:t>
      </w:r>
      <w:r w:rsidR="00BE09F0" w:rsidRPr="005237F0">
        <w:rPr>
          <w:sz w:val="20"/>
          <w:szCs w:val="20"/>
        </w:rPr>
        <w:t>Watts</w:t>
      </w:r>
      <w:r w:rsidR="003B02A2" w:rsidRPr="005237F0">
        <w:rPr>
          <w:sz w:val="20"/>
          <w:szCs w:val="20"/>
        </w:rPr>
        <w:t>.</w:t>
      </w:r>
      <w:r w:rsidR="00250218" w:rsidRPr="005237F0">
        <w:rPr>
          <w:sz w:val="20"/>
          <w:szCs w:val="20"/>
        </w:rPr>
        <w:t xml:space="preserve"> </w:t>
      </w:r>
      <w:r w:rsidR="0014294D" w:rsidRPr="005237F0">
        <w:rPr>
          <w:sz w:val="20"/>
          <w:szCs w:val="20"/>
        </w:rPr>
        <w:t xml:space="preserve">2024. </w:t>
      </w:r>
      <w:r w:rsidR="00BE09F0" w:rsidRPr="005237F0">
        <w:rPr>
          <w:sz w:val="20"/>
          <w:szCs w:val="20"/>
        </w:rPr>
        <w:t>Restoration Ecology e14290.</w:t>
      </w:r>
      <w:r w:rsidR="000A4C3B" w:rsidRPr="005237F0">
        <w:rPr>
          <w:sz w:val="20"/>
          <w:szCs w:val="20"/>
        </w:rPr>
        <w:t xml:space="preserve"> </w:t>
      </w:r>
      <w:hyperlink r:id="rId7" w:history="1">
        <w:r w:rsidR="000A4C3B" w:rsidRPr="005237F0">
          <w:rPr>
            <w:rStyle w:val="Hyperlink"/>
            <w:sz w:val="20"/>
            <w:szCs w:val="20"/>
          </w:rPr>
          <w:t>https://doi.org/10.1111/rec.14290</w:t>
        </w:r>
      </w:hyperlink>
      <w:r w:rsidR="00250218" w:rsidRPr="005237F0">
        <w:rPr>
          <w:sz w:val="20"/>
          <w:szCs w:val="20"/>
        </w:rPr>
        <w:t xml:space="preserve">; </w:t>
      </w:r>
      <w:r w:rsidR="00D8388B" w:rsidRPr="005237F0">
        <w:rPr>
          <w:sz w:val="20"/>
          <w:szCs w:val="20"/>
        </w:rPr>
        <w:t xml:space="preserve">[2] </w:t>
      </w:r>
      <w:r w:rsidR="00EC35BC" w:rsidRPr="005237F0">
        <w:rPr>
          <w:sz w:val="20"/>
          <w:szCs w:val="20"/>
        </w:rPr>
        <w:t xml:space="preserve">Trivedi et al. 2008. Biological Conservation </w:t>
      </w:r>
      <w:r w:rsidR="00EC35BC" w:rsidRPr="005237F0">
        <w:rPr>
          <w:b/>
          <w:bCs/>
          <w:sz w:val="20"/>
          <w:szCs w:val="20"/>
        </w:rPr>
        <w:t>141</w:t>
      </w:r>
      <w:r w:rsidR="00EC35BC" w:rsidRPr="005237F0">
        <w:rPr>
          <w:sz w:val="20"/>
          <w:szCs w:val="20"/>
        </w:rPr>
        <w:t>:1665-75</w:t>
      </w:r>
      <w:r w:rsidR="00250218" w:rsidRPr="005237F0">
        <w:rPr>
          <w:sz w:val="20"/>
          <w:szCs w:val="20"/>
        </w:rPr>
        <w:t xml:space="preserve">; </w:t>
      </w:r>
      <w:r w:rsidR="00D8388B" w:rsidRPr="005237F0">
        <w:rPr>
          <w:sz w:val="20"/>
          <w:szCs w:val="20"/>
        </w:rPr>
        <w:t xml:space="preserve">[3] </w:t>
      </w:r>
      <w:r w:rsidR="00EC35BC" w:rsidRPr="005237F0">
        <w:rPr>
          <w:sz w:val="20"/>
          <w:szCs w:val="20"/>
        </w:rPr>
        <w:t xml:space="preserve">Watts &amp; Jump. 2022. Restoration Ecology </w:t>
      </w:r>
      <w:proofErr w:type="gramStart"/>
      <w:r w:rsidR="00EC35BC" w:rsidRPr="005237F0">
        <w:rPr>
          <w:b/>
          <w:bCs/>
          <w:sz w:val="20"/>
          <w:szCs w:val="20"/>
        </w:rPr>
        <w:t>30</w:t>
      </w:r>
      <w:r w:rsidR="00EC35BC" w:rsidRPr="005237F0">
        <w:rPr>
          <w:sz w:val="20"/>
          <w:szCs w:val="20"/>
        </w:rPr>
        <w:t>:e</w:t>
      </w:r>
      <w:proofErr w:type="gramEnd"/>
      <w:r w:rsidR="00EC35BC" w:rsidRPr="005237F0">
        <w:rPr>
          <w:sz w:val="20"/>
          <w:szCs w:val="20"/>
        </w:rPr>
        <w:t>13701</w:t>
      </w:r>
      <w:r w:rsidR="00EC35BC">
        <w:rPr>
          <w:sz w:val="20"/>
          <w:szCs w:val="20"/>
        </w:rPr>
        <w:t>;</w:t>
      </w:r>
      <w:r w:rsidR="00EC35BC" w:rsidRPr="005237F0">
        <w:rPr>
          <w:sz w:val="20"/>
          <w:szCs w:val="20"/>
        </w:rPr>
        <w:t xml:space="preserve"> </w:t>
      </w:r>
      <w:r w:rsidR="00D8388B" w:rsidRPr="005237F0">
        <w:rPr>
          <w:sz w:val="20"/>
          <w:szCs w:val="20"/>
        </w:rPr>
        <w:t>[4] Tipping. 1997</w:t>
      </w:r>
      <w:r w:rsidR="003B02A2" w:rsidRPr="005237F0">
        <w:rPr>
          <w:sz w:val="20"/>
          <w:szCs w:val="20"/>
        </w:rPr>
        <w:t>, pp</w:t>
      </w:r>
      <w:r w:rsidR="00D8388B" w:rsidRPr="005237F0">
        <w:rPr>
          <w:sz w:val="20"/>
          <w:szCs w:val="20"/>
        </w:rPr>
        <w:t xml:space="preserve">. 11-19 </w:t>
      </w:r>
      <w:r w:rsidR="00D8388B" w:rsidRPr="005237F0">
        <w:rPr>
          <w:i/>
          <w:iCs/>
          <w:sz w:val="20"/>
          <w:szCs w:val="20"/>
        </w:rPr>
        <w:t>in</w:t>
      </w:r>
      <w:r w:rsidR="00D8388B" w:rsidRPr="005237F0">
        <w:rPr>
          <w:sz w:val="20"/>
          <w:szCs w:val="20"/>
        </w:rPr>
        <w:t xml:space="preserve"> Gilbert</w:t>
      </w:r>
      <w:r w:rsidR="003B02A2" w:rsidRPr="005237F0">
        <w:rPr>
          <w:sz w:val="20"/>
          <w:szCs w:val="20"/>
        </w:rPr>
        <w:t xml:space="preserve"> et al. (eds.)</w:t>
      </w:r>
      <w:r w:rsidR="00D8388B" w:rsidRPr="005237F0">
        <w:rPr>
          <w:sz w:val="20"/>
          <w:szCs w:val="20"/>
        </w:rPr>
        <w:t>. The ecology and restoration of montane and subalpine scrub habitats in Scotland. Scottish Natural Heritage, Edinburgh</w:t>
      </w:r>
      <w:r w:rsidR="003B02A2" w:rsidRPr="005237F0">
        <w:rPr>
          <w:sz w:val="20"/>
          <w:szCs w:val="20"/>
        </w:rPr>
        <w:t xml:space="preserve">; </w:t>
      </w:r>
      <w:r w:rsidR="00D8388B" w:rsidRPr="005237F0">
        <w:rPr>
          <w:sz w:val="20"/>
          <w:szCs w:val="20"/>
        </w:rPr>
        <w:t>[5] Nagy</w:t>
      </w:r>
      <w:r w:rsidR="003B02A2" w:rsidRPr="005237F0">
        <w:rPr>
          <w:sz w:val="20"/>
          <w:szCs w:val="20"/>
        </w:rPr>
        <w:t xml:space="preserve"> et al</w:t>
      </w:r>
      <w:r w:rsidR="00D8388B" w:rsidRPr="005237F0">
        <w:rPr>
          <w:sz w:val="20"/>
          <w:szCs w:val="20"/>
        </w:rPr>
        <w:t xml:space="preserve">. 2013. Plant Ecology &amp; Diversity </w:t>
      </w:r>
      <w:r w:rsidR="00D8388B" w:rsidRPr="005237F0">
        <w:rPr>
          <w:b/>
          <w:bCs/>
          <w:sz w:val="20"/>
          <w:szCs w:val="20"/>
        </w:rPr>
        <w:t>6</w:t>
      </w:r>
      <w:r w:rsidR="00D8388B" w:rsidRPr="005237F0">
        <w:rPr>
          <w:sz w:val="20"/>
          <w:szCs w:val="20"/>
        </w:rPr>
        <w:t>:7-19</w:t>
      </w:r>
      <w:r w:rsidR="003B02A2" w:rsidRPr="005237F0">
        <w:rPr>
          <w:sz w:val="20"/>
          <w:szCs w:val="20"/>
        </w:rPr>
        <w:t xml:space="preserve">; </w:t>
      </w:r>
      <w:r w:rsidR="00D8388B" w:rsidRPr="005237F0">
        <w:rPr>
          <w:sz w:val="20"/>
          <w:szCs w:val="20"/>
        </w:rPr>
        <w:t>[6] Maclean</w:t>
      </w:r>
      <w:r w:rsidR="003B02A2" w:rsidRPr="005237F0">
        <w:rPr>
          <w:sz w:val="20"/>
          <w:szCs w:val="20"/>
        </w:rPr>
        <w:t xml:space="preserve"> et al. </w:t>
      </w:r>
      <w:r w:rsidR="00D8388B" w:rsidRPr="005237F0">
        <w:rPr>
          <w:sz w:val="20"/>
          <w:szCs w:val="20"/>
        </w:rPr>
        <w:t xml:space="preserve">2019. Methods in Ecology and Evolution </w:t>
      </w:r>
      <w:r w:rsidR="00D8388B" w:rsidRPr="005237F0">
        <w:rPr>
          <w:b/>
          <w:bCs/>
          <w:sz w:val="20"/>
          <w:szCs w:val="20"/>
        </w:rPr>
        <w:t>10</w:t>
      </w:r>
      <w:r w:rsidR="00D8388B" w:rsidRPr="005237F0">
        <w:rPr>
          <w:sz w:val="20"/>
          <w:szCs w:val="20"/>
        </w:rPr>
        <w:t>:280-90</w:t>
      </w:r>
      <w:r w:rsidR="003B02A2" w:rsidRPr="005237F0">
        <w:rPr>
          <w:sz w:val="20"/>
          <w:szCs w:val="20"/>
        </w:rPr>
        <w:t xml:space="preserve">; </w:t>
      </w:r>
      <w:r w:rsidR="00D8388B" w:rsidRPr="005237F0">
        <w:rPr>
          <w:sz w:val="20"/>
          <w:szCs w:val="20"/>
        </w:rPr>
        <w:t>[7] Birks</w:t>
      </w:r>
      <w:r w:rsidR="003B02A2" w:rsidRPr="005237F0">
        <w:rPr>
          <w:sz w:val="20"/>
          <w:szCs w:val="20"/>
        </w:rPr>
        <w:t xml:space="preserve"> &amp;</w:t>
      </w:r>
      <w:r w:rsidR="00D8388B" w:rsidRPr="005237F0">
        <w:rPr>
          <w:sz w:val="20"/>
          <w:szCs w:val="20"/>
        </w:rPr>
        <w:t xml:space="preserve"> Bjune. 2010. Vegetation History and </w:t>
      </w:r>
      <w:proofErr w:type="spellStart"/>
      <w:r w:rsidR="00D8388B" w:rsidRPr="005237F0">
        <w:rPr>
          <w:sz w:val="20"/>
          <w:szCs w:val="20"/>
        </w:rPr>
        <w:t>Archaeobotany</w:t>
      </w:r>
      <w:proofErr w:type="spellEnd"/>
      <w:r w:rsidR="00D8388B" w:rsidRPr="005237F0">
        <w:rPr>
          <w:sz w:val="20"/>
          <w:szCs w:val="20"/>
        </w:rPr>
        <w:t xml:space="preserve"> </w:t>
      </w:r>
      <w:r w:rsidR="00D8388B" w:rsidRPr="005237F0">
        <w:rPr>
          <w:b/>
          <w:bCs/>
          <w:sz w:val="20"/>
          <w:szCs w:val="20"/>
        </w:rPr>
        <w:t>19</w:t>
      </w:r>
      <w:r w:rsidR="00D8388B" w:rsidRPr="005237F0">
        <w:rPr>
          <w:sz w:val="20"/>
          <w:szCs w:val="20"/>
        </w:rPr>
        <w:t>:325-40.</w:t>
      </w:r>
    </w:p>
    <w:sectPr w:rsidR="00BE09F0" w:rsidRPr="005237F0" w:rsidSect="005237F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026A7"/>
    <w:multiLevelType w:val="hybridMultilevel"/>
    <w:tmpl w:val="F910A0E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9476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F0"/>
    <w:rsid w:val="000A4C3B"/>
    <w:rsid w:val="000A5164"/>
    <w:rsid w:val="000A5F33"/>
    <w:rsid w:val="000B4A18"/>
    <w:rsid w:val="000E371A"/>
    <w:rsid w:val="00100074"/>
    <w:rsid w:val="0011752B"/>
    <w:rsid w:val="0014294D"/>
    <w:rsid w:val="00181064"/>
    <w:rsid w:val="001B2CA7"/>
    <w:rsid w:val="001B4278"/>
    <w:rsid w:val="001B7F36"/>
    <w:rsid w:val="001C226B"/>
    <w:rsid w:val="001C2F14"/>
    <w:rsid w:val="0020305D"/>
    <w:rsid w:val="00247AA6"/>
    <w:rsid w:val="00250218"/>
    <w:rsid w:val="00262321"/>
    <w:rsid w:val="002802C4"/>
    <w:rsid w:val="00281F02"/>
    <w:rsid w:val="002B7834"/>
    <w:rsid w:val="002D744D"/>
    <w:rsid w:val="002F0C8F"/>
    <w:rsid w:val="00307834"/>
    <w:rsid w:val="00313CC7"/>
    <w:rsid w:val="00344DD9"/>
    <w:rsid w:val="00355579"/>
    <w:rsid w:val="003835F7"/>
    <w:rsid w:val="003869A7"/>
    <w:rsid w:val="003926C9"/>
    <w:rsid w:val="00397DBC"/>
    <w:rsid w:val="003B02A2"/>
    <w:rsid w:val="003C11B7"/>
    <w:rsid w:val="003D2219"/>
    <w:rsid w:val="003E20DB"/>
    <w:rsid w:val="003F464F"/>
    <w:rsid w:val="003F4B0E"/>
    <w:rsid w:val="004230DC"/>
    <w:rsid w:val="00436673"/>
    <w:rsid w:val="00453F46"/>
    <w:rsid w:val="00454621"/>
    <w:rsid w:val="00495864"/>
    <w:rsid w:val="004C443C"/>
    <w:rsid w:val="004E7B55"/>
    <w:rsid w:val="0052341C"/>
    <w:rsid w:val="005237F0"/>
    <w:rsid w:val="0053179C"/>
    <w:rsid w:val="00561AEA"/>
    <w:rsid w:val="00564D4E"/>
    <w:rsid w:val="005C1A6E"/>
    <w:rsid w:val="005C50EC"/>
    <w:rsid w:val="005D3A31"/>
    <w:rsid w:val="005E1F3E"/>
    <w:rsid w:val="005F1E3E"/>
    <w:rsid w:val="00622EDB"/>
    <w:rsid w:val="00630A02"/>
    <w:rsid w:val="00646C17"/>
    <w:rsid w:val="0065535B"/>
    <w:rsid w:val="00680845"/>
    <w:rsid w:val="006903C4"/>
    <w:rsid w:val="0069113B"/>
    <w:rsid w:val="006B1E15"/>
    <w:rsid w:val="006C4DB2"/>
    <w:rsid w:val="006D277B"/>
    <w:rsid w:val="006F5153"/>
    <w:rsid w:val="00731390"/>
    <w:rsid w:val="00760A69"/>
    <w:rsid w:val="00761FD5"/>
    <w:rsid w:val="0076721E"/>
    <w:rsid w:val="00794B5C"/>
    <w:rsid w:val="007A4A94"/>
    <w:rsid w:val="007E212F"/>
    <w:rsid w:val="007E4E47"/>
    <w:rsid w:val="007F748B"/>
    <w:rsid w:val="008051BC"/>
    <w:rsid w:val="0081510A"/>
    <w:rsid w:val="00844F5F"/>
    <w:rsid w:val="008508BB"/>
    <w:rsid w:val="0086153A"/>
    <w:rsid w:val="0086171B"/>
    <w:rsid w:val="00894EA2"/>
    <w:rsid w:val="008D462E"/>
    <w:rsid w:val="008D53E7"/>
    <w:rsid w:val="008D6B3C"/>
    <w:rsid w:val="008F06ED"/>
    <w:rsid w:val="00932736"/>
    <w:rsid w:val="009816DA"/>
    <w:rsid w:val="009D5BEA"/>
    <w:rsid w:val="009D6A35"/>
    <w:rsid w:val="00A02E22"/>
    <w:rsid w:val="00A10896"/>
    <w:rsid w:val="00A240B5"/>
    <w:rsid w:val="00A3552D"/>
    <w:rsid w:val="00A465F5"/>
    <w:rsid w:val="00A47AAF"/>
    <w:rsid w:val="00A85324"/>
    <w:rsid w:val="00A86718"/>
    <w:rsid w:val="00AE1D6D"/>
    <w:rsid w:val="00B0449D"/>
    <w:rsid w:val="00B1749D"/>
    <w:rsid w:val="00B323F2"/>
    <w:rsid w:val="00B532D2"/>
    <w:rsid w:val="00B873C7"/>
    <w:rsid w:val="00BA0AA9"/>
    <w:rsid w:val="00BA6B42"/>
    <w:rsid w:val="00BC0DAB"/>
    <w:rsid w:val="00BE09F0"/>
    <w:rsid w:val="00BF06FF"/>
    <w:rsid w:val="00C50AC9"/>
    <w:rsid w:val="00C6431B"/>
    <w:rsid w:val="00C7303C"/>
    <w:rsid w:val="00C8280E"/>
    <w:rsid w:val="00C84789"/>
    <w:rsid w:val="00CA05FF"/>
    <w:rsid w:val="00CC056F"/>
    <w:rsid w:val="00CC44A9"/>
    <w:rsid w:val="00CD2C12"/>
    <w:rsid w:val="00CF5699"/>
    <w:rsid w:val="00D42A80"/>
    <w:rsid w:val="00D518F8"/>
    <w:rsid w:val="00D730B5"/>
    <w:rsid w:val="00D8388B"/>
    <w:rsid w:val="00DB642A"/>
    <w:rsid w:val="00DC437F"/>
    <w:rsid w:val="00E155D9"/>
    <w:rsid w:val="00E32875"/>
    <w:rsid w:val="00E634C2"/>
    <w:rsid w:val="00E6480A"/>
    <w:rsid w:val="00E65A43"/>
    <w:rsid w:val="00E65F79"/>
    <w:rsid w:val="00E67523"/>
    <w:rsid w:val="00EB1669"/>
    <w:rsid w:val="00EB544E"/>
    <w:rsid w:val="00EB7D03"/>
    <w:rsid w:val="00EC35BC"/>
    <w:rsid w:val="00EC7EC5"/>
    <w:rsid w:val="00F10C15"/>
    <w:rsid w:val="00F56AD8"/>
    <w:rsid w:val="00FA00DD"/>
    <w:rsid w:val="00FB4C02"/>
    <w:rsid w:val="00FB6CD6"/>
    <w:rsid w:val="00FB73FB"/>
    <w:rsid w:val="00FC7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7455"/>
  <w15:chartTrackingRefBased/>
  <w15:docId w15:val="{0D8952F2-4BE4-4F93-A518-B3BA8464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F0"/>
  </w:style>
  <w:style w:type="paragraph" w:styleId="Heading1">
    <w:name w:val="heading 1"/>
    <w:basedOn w:val="Normal"/>
    <w:next w:val="Normal"/>
    <w:link w:val="Heading1Char"/>
    <w:uiPriority w:val="9"/>
    <w:qFormat/>
    <w:rsid w:val="00BE0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9F0"/>
    <w:rPr>
      <w:rFonts w:eastAsiaTheme="majorEastAsia" w:cstheme="majorBidi"/>
      <w:color w:val="272727" w:themeColor="text1" w:themeTint="D8"/>
    </w:rPr>
  </w:style>
  <w:style w:type="paragraph" w:styleId="Title">
    <w:name w:val="Title"/>
    <w:basedOn w:val="Normal"/>
    <w:next w:val="Normal"/>
    <w:link w:val="TitleChar"/>
    <w:uiPriority w:val="10"/>
    <w:qFormat/>
    <w:rsid w:val="00BE0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9F0"/>
    <w:pPr>
      <w:spacing w:before="160"/>
      <w:jc w:val="center"/>
    </w:pPr>
    <w:rPr>
      <w:i/>
      <w:iCs/>
      <w:color w:val="404040" w:themeColor="text1" w:themeTint="BF"/>
    </w:rPr>
  </w:style>
  <w:style w:type="character" w:customStyle="1" w:styleId="QuoteChar">
    <w:name w:val="Quote Char"/>
    <w:basedOn w:val="DefaultParagraphFont"/>
    <w:link w:val="Quote"/>
    <w:uiPriority w:val="29"/>
    <w:rsid w:val="00BE09F0"/>
    <w:rPr>
      <w:i/>
      <w:iCs/>
      <w:color w:val="404040" w:themeColor="text1" w:themeTint="BF"/>
    </w:rPr>
  </w:style>
  <w:style w:type="paragraph" w:styleId="ListParagraph">
    <w:name w:val="List Paragraph"/>
    <w:basedOn w:val="Normal"/>
    <w:uiPriority w:val="34"/>
    <w:qFormat/>
    <w:rsid w:val="00BE09F0"/>
    <w:pPr>
      <w:ind w:left="720"/>
      <w:contextualSpacing/>
    </w:pPr>
  </w:style>
  <w:style w:type="character" w:styleId="IntenseEmphasis">
    <w:name w:val="Intense Emphasis"/>
    <w:basedOn w:val="DefaultParagraphFont"/>
    <w:uiPriority w:val="21"/>
    <w:qFormat/>
    <w:rsid w:val="00BE09F0"/>
    <w:rPr>
      <w:i/>
      <w:iCs/>
      <w:color w:val="0F4761" w:themeColor="accent1" w:themeShade="BF"/>
    </w:rPr>
  </w:style>
  <w:style w:type="paragraph" w:styleId="IntenseQuote">
    <w:name w:val="Intense Quote"/>
    <w:basedOn w:val="Normal"/>
    <w:next w:val="Normal"/>
    <w:link w:val="IntenseQuoteChar"/>
    <w:uiPriority w:val="30"/>
    <w:qFormat/>
    <w:rsid w:val="00BE0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9F0"/>
    <w:rPr>
      <w:i/>
      <w:iCs/>
      <w:color w:val="0F4761" w:themeColor="accent1" w:themeShade="BF"/>
    </w:rPr>
  </w:style>
  <w:style w:type="character" w:styleId="IntenseReference">
    <w:name w:val="Intense Reference"/>
    <w:basedOn w:val="DefaultParagraphFont"/>
    <w:uiPriority w:val="32"/>
    <w:qFormat/>
    <w:rsid w:val="00BE09F0"/>
    <w:rPr>
      <w:b/>
      <w:bCs/>
      <w:smallCaps/>
      <w:color w:val="0F4761" w:themeColor="accent1" w:themeShade="BF"/>
      <w:spacing w:val="5"/>
    </w:rPr>
  </w:style>
  <w:style w:type="character" w:styleId="Hyperlink">
    <w:name w:val="Hyperlink"/>
    <w:basedOn w:val="DefaultParagraphFont"/>
    <w:uiPriority w:val="99"/>
    <w:unhideWhenUsed/>
    <w:rsid w:val="00BE09F0"/>
    <w:rPr>
      <w:color w:val="467886" w:themeColor="hyperlink"/>
      <w:u w:val="single"/>
    </w:rPr>
  </w:style>
  <w:style w:type="character" w:styleId="UnresolvedMention">
    <w:name w:val="Unresolved Mention"/>
    <w:basedOn w:val="DefaultParagraphFont"/>
    <w:uiPriority w:val="99"/>
    <w:semiHidden/>
    <w:unhideWhenUsed/>
    <w:rsid w:val="00BE09F0"/>
    <w:rPr>
      <w:color w:val="605E5C"/>
      <w:shd w:val="clear" w:color="auto" w:fill="E1DFDD"/>
    </w:rPr>
  </w:style>
  <w:style w:type="paragraph" w:styleId="Revision">
    <w:name w:val="Revision"/>
    <w:hidden/>
    <w:uiPriority w:val="99"/>
    <w:semiHidden/>
    <w:rsid w:val="00BC0DAB"/>
    <w:pPr>
      <w:spacing w:after="0" w:line="240" w:lineRule="auto"/>
    </w:pPr>
  </w:style>
  <w:style w:type="character" w:styleId="CommentReference">
    <w:name w:val="annotation reference"/>
    <w:basedOn w:val="DefaultParagraphFont"/>
    <w:uiPriority w:val="99"/>
    <w:semiHidden/>
    <w:unhideWhenUsed/>
    <w:rsid w:val="00BC0DAB"/>
    <w:rPr>
      <w:sz w:val="16"/>
      <w:szCs w:val="16"/>
    </w:rPr>
  </w:style>
  <w:style w:type="paragraph" w:styleId="CommentText">
    <w:name w:val="annotation text"/>
    <w:basedOn w:val="Normal"/>
    <w:link w:val="CommentTextChar"/>
    <w:uiPriority w:val="99"/>
    <w:unhideWhenUsed/>
    <w:rsid w:val="00BC0DAB"/>
    <w:pPr>
      <w:spacing w:line="240" w:lineRule="auto"/>
    </w:pPr>
    <w:rPr>
      <w:sz w:val="20"/>
      <w:szCs w:val="20"/>
    </w:rPr>
  </w:style>
  <w:style w:type="character" w:customStyle="1" w:styleId="CommentTextChar">
    <w:name w:val="Comment Text Char"/>
    <w:basedOn w:val="DefaultParagraphFont"/>
    <w:link w:val="CommentText"/>
    <w:uiPriority w:val="99"/>
    <w:rsid w:val="00BC0DAB"/>
    <w:rPr>
      <w:sz w:val="20"/>
      <w:szCs w:val="20"/>
    </w:rPr>
  </w:style>
  <w:style w:type="paragraph" w:styleId="CommentSubject">
    <w:name w:val="annotation subject"/>
    <w:basedOn w:val="CommentText"/>
    <w:next w:val="CommentText"/>
    <w:link w:val="CommentSubjectChar"/>
    <w:uiPriority w:val="99"/>
    <w:semiHidden/>
    <w:unhideWhenUsed/>
    <w:rsid w:val="00BC0DAB"/>
    <w:rPr>
      <w:b/>
      <w:bCs/>
    </w:rPr>
  </w:style>
  <w:style w:type="character" w:customStyle="1" w:styleId="CommentSubjectChar">
    <w:name w:val="Comment Subject Char"/>
    <w:basedOn w:val="CommentTextChar"/>
    <w:link w:val="CommentSubject"/>
    <w:uiPriority w:val="99"/>
    <w:semiHidden/>
    <w:rsid w:val="00BC0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458102">
      <w:bodyDiv w:val="1"/>
      <w:marLeft w:val="0"/>
      <w:marRight w:val="0"/>
      <w:marTop w:val="0"/>
      <w:marBottom w:val="0"/>
      <w:divBdr>
        <w:top w:val="none" w:sz="0" w:space="0" w:color="auto"/>
        <w:left w:val="none" w:sz="0" w:space="0" w:color="auto"/>
        <w:bottom w:val="none" w:sz="0" w:space="0" w:color="auto"/>
        <w:right w:val="none" w:sz="0" w:space="0" w:color="auto"/>
      </w:divBdr>
    </w:div>
    <w:div w:id="85407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rec.14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ag.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Davies</dc:creator>
  <cp:keywords/>
  <dc:description/>
  <cp:lastModifiedBy>Helen Olaez</cp:lastModifiedBy>
  <cp:revision>58</cp:revision>
  <dcterms:created xsi:type="dcterms:W3CDTF">2024-12-05T08:34:00Z</dcterms:created>
  <dcterms:modified xsi:type="dcterms:W3CDTF">2024-12-12T11:58:00Z</dcterms:modified>
</cp:coreProperties>
</file>